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header5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709" w:leader="none"/>
        </w:tabs>
        <w:jc w:val="right"/>
        <w:rPr>
          <w:sz w:val="24"/>
          <w:szCs w:val="22"/>
        </w:rPr>
      </w:pPr>
      <w:r>
        <w:rPr>
          <w:sz w:val="24"/>
          <w:szCs w:val="22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поставку МТР</w:t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widowControl w:val="false"/>
        <w:spacing w:before="0" w:after="198"/>
        <w:contextualSpacing/>
        <w:jc w:val="center"/>
        <w:rPr>
          <w:rStyle w:val="Style8"/>
          <w:rFonts w:eastAsia="Times New Roman" w:cs="Times New Roman"/>
          <w:b/>
          <w:bCs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  <w:lang w:val="en-US" w:eastAsia="ru-RU" w:bidi="ar-SA"/>
        </w:rPr>
      </w:pPr>
      <w:r>
        <w:rPr>
          <w:rFonts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  <w:lang w:val="en-US" w:eastAsia="ru-RU" w:bidi="ar-SA"/>
        </w:rPr>
      </w:r>
    </w:p>
    <w:p>
      <w:pPr>
        <w:pStyle w:val="Normal"/>
        <w:widowControl w:val="false"/>
        <w:spacing w:before="0" w:after="198"/>
        <w:contextualSpacing/>
        <w:jc w:val="center"/>
        <w:rPr/>
      </w:pPr>
      <w:r>
        <w:rPr>
          <w:rStyle w:val="Style8"/>
          <w:rFonts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  <w:lang w:val="en-US" w:eastAsia="ru-RU" w:bidi="ar-SA"/>
        </w:rPr>
        <w:t xml:space="preserve">ОКПД2 08.12.12.160 Поставка песчано-гравийной смеси для </w:t>
      </w:r>
      <w:r>
        <w:rPr>
          <w:rStyle w:val="Style8"/>
          <w:rFonts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  <w:lang w:val="en-US" w:eastAsia="ru-RU" w:bidi="ar-SA"/>
        </w:rPr>
        <w:t>ДЭС Намы</w:t>
      </w:r>
    </w:p>
    <w:p>
      <w:pPr>
        <w:pStyle w:val="Style34"/>
        <w:widowControl w:val="false"/>
        <w:spacing w:before="0" w:after="198"/>
        <w:contextualSpacing/>
        <w:jc w:val="center"/>
        <w:rPr>
          <w:b/>
          <w:bCs/>
          <w:sz w:val="24"/>
          <w:szCs w:val="24"/>
          <w:lang w:bidi="ar-SA"/>
        </w:rPr>
      </w:pPr>
      <w:r>
        <w:rPr>
          <w:b/>
          <w:bCs/>
          <w:sz w:val="24"/>
          <w:szCs w:val="24"/>
          <w:lang w:bidi="ar-SA"/>
        </w:rPr>
      </w:r>
    </w:p>
    <w:p>
      <w:pPr>
        <w:pStyle w:val="Style34"/>
        <w:widowControl w:val="false"/>
        <w:spacing w:before="0" w:after="198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/>
          <w:b/>
          <w:bCs/>
          <w:i w:val="false"/>
          <w:iCs w:val="false"/>
          <w:strike w:val="false"/>
          <w:dstrike w:val="false"/>
          <w:color w:val="000000"/>
          <w:kern w:val="0"/>
          <w:sz w:val="24"/>
          <w:szCs w:val="24"/>
          <w:u w:val="none"/>
          <w:lang w:val="ru-RU" w:eastAsia="ru-RU" w:bidi="ar-SA"/>
        </w:rPr>
        <w:t xml:space="preserve">Лот № </w:t>
      </w:r>
      <w:r>
        <w:rPr>
          <w:rFonts w:eastAsia="Times New Roman" w:cs="Times New Roman"/>
          <w:b/>
          <w:bCs/>
          <w:i w:val="false"/>
          <w:iCs w:val="false"/>
          <w:strike w:val="false"/>
          <w:dstrike w:val="false"/>
          <w:color w:val="auto"/>
          <w:kern w:val="0"/>
          <w:sz w:val="24"/>
          <w:szCs w:val="24"/>
          <w:u w:val="none"/>
          <w:lang w:val="ru-RU" w:eastAsia="ru-RU" w:bidi="ar-SA"/>
        </w:rPr>
        <w:t>10901-РЕМ ПРОД-2027-СахаЭ</w:t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jc w:val="center"/>
        <w:rPr>
          <w:b/>
        </w:rPr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r>
            <w:fldChar w:fldCharType="begin"/>
          </w:r>
          <w:r>
            <w:rPr>
              <w:webHidden/>
              <w:rStyle w:val="Style14"/>
              <w:vanish w:val="false"/>
            </w:rPr>
            <w:instrText xml:space="preserve"> TOC \z \o "1-4" \u \h</w:instrText>
          </w:r>
          <w:r>
            <w:rPr>
              <w:webHidden/>
              <w:rStyle w:val="Style14"/>
              <w:vanish w:val="false"/>
            </w:rPr>
            <w:fldChar w:fldCharType="separate"/>
          </w:r>
          <w:hyperlink w:anchor="__RefHeading___Toc2412_3630896084">
            <w:r>
              <w:rPr>
                <w:webHidden/>
                <w:rStyle w:val="Style14"/>
                <w:vanish w:val="false"/>
              </w:rPr>
              <w:t>1. Общие сведения</w:t>
              <w:tab/>
              <w:t>3</w:t>
            </w:r>
          </w:hyperlink>
        </w:p>
        <w:p>
          <w:pPr>
            <w:pStyle w:val="TOC4"/>
            <w:tabs>
              <w:tab w:val="clear" w:pos="708"/>
              <w:tab w:val="right" w:pos="9921" w:leader="dot"/>
            </w:tabs>
            <w:rPr/>
          </w:pPr>
          <w:hyperlink w:anchor="__RefHeading___Toc2414_3630896084">
            <w:r>
              <w:rPr>
                <w:webHidden/>
                <w:rStyle w:val="Style14"/>
                <w:vanish w:val="false"/>
              </w:rPr>
              <w:t>1.1. Обозначения и сокращения</w:t>
              <w:tab/>
              <w:t>3</w:t>
            </w:r>
          </w:hyperlink>
        </w:p>
        <w:p>
          <w:pPr>
            <w:pStyle w:val="TOC4"/>
            <w:tabs>
              <w:tab w:val="clear" w:pos="708"/>
              <w:tab w:val="right" w:pos="9921" w:leader="dot"/>
            </w:tabs>
            <w:rPr/>
          </w:pPr>
          <w:hyperlink w:anchor="__RefHeading___Toc2416_3630896084">
            <w:r>
              <w:rPr>
                <w:webHidden/>
                <w:rStyle w:val="Style14"/>
                <w:vanish w:val="false"/>
              </w:rPr>
              <w:t>1.2. Наименование закупаемой продукции</w:t>
              <w:tab/>
              <w:t>4</w:t>
            </w:r>
          </w:hyperlink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2418_3630896084">
            <w:r>
              <w:rPr>
                <w:webHidden/>
                <w:rStyle w:val="Style14"/>
                <w:vanish w:val="false"/>
              </w:rPr>
              <w:t xml:space="preserve">2. </w:t>
            </w:r>
            <w:r>
              <w:rPr>
                <w:rStyle w:val="Style14"/>
                <w:iCs/>
              </w:rPr>
              <w:t>Требования к продукции</w:t>
            </w:r>
            <w:r>
              <w:rPr>
                <w:rStyle w:val="Style14"/>
              </w:rPr>
              <w:tab/>
              <w:t>4</w:t>
            </w:r>
          </w:hyperlink>
        </w:p>
        <w:p>
          <w:pPr>
            <w:pStyle w:val="TOC4"/>
            <w:tabs>
              <w:tab w:val="clear" w:pos="708"/>
              <w:tab w:val="right" w:pos="9921" w:leader="dot"/>
            </w:tabs>
            <w:rPr/>
          </w:pPr>
          <w:hyperlink w:anchor="__RefHeading___Toc2420_3630896084">
            <w:r>
              <w:rPr>
                <w:webHidden/>
                <w:rStyle w:val="Style14"/>
                <w:vanish w:val="false"/>
              </w:rPr>
              <w:t>2.1. Требования к объемам и срокам поставки</w:t>
              <w:tab/>
              <w:t>4</w:t>
            </w:r>
          </w:hyperlink>
        </w:p>
        <w:p>
          <w:pPr>
            <w:pStyle w:val="TOC3"/>
            <w:tabs>
              <w:tab w:val="clear" w:pos="708"/>
              <w:tab w:val="right" w:pos="9921" w:leader="dot"/>
            </w:tabs>
            <w:rPr/>
          </w:pPr>
          <w:hyperlink w:anchor="__RefHeading___Toc2422_3630896084">
            <w:r>
              <w:rPr>
                <w:webHidden/>
                <w:rStyle w:val="Style14"/>
                <w:vanish w:val="false"/>
              </w:rPr>
              <w:t>2.1.1. Перечень и объем закупаемой продукции</w:t>
              <w:tab/>
              <w:t>4</w:t>
            </w:r>
          </w:hyperlink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2424_3630896084">
            <w:r>
              <w:rPr>
                <w:webHidden/>
                <w:rStyle w:val="Style14"/>
                <w:vanish w:val="false"/>
              </w:rPr>
              <w:t>Таблица 1.1 Перечень и объем закупаемой продукции</w:t>
              <w:tab/>
              <w:t>4</w:t>
            </w:r>
          </w:hyperlink>
        </w:p>
        <w:p>
          <w:pPr>
            <w:pStyle w:val="TOC3"/>
            <w:tabs>
              <w:tab w:val="clear" w:pos="708"/>
              <w:tab w:val="right" w:pos="9921" w:leader="dot"/>
            </w:tabs>
            <w:rPr/>
          </w:pPr>
          <w:hyperlink w:anchor="__RefHeading___Toc2426_3630896084">
            <w:r>
              <w:rPr>
                <w:webHidden/>
                <w:rStyle w:val="Style14"/>
                <w:vanish w:val="false"/>
              </w:rPr>
              <w:t>2.1.2. Требования к срокам поставки продукции и оказания сопутствующих услуг</w:t>
              <w:tab/>
              <w:t>4</w:t>
            </w:r>
          </w:hyperlink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2428_3630896084">
            <w:r>
              <w:rPr>
                <w:webHidden/>
                <w:rStyle w:val="Style14"/>
                <w:vanish w:val="false"/>
              </w:rPr>
              <w:t>Таблица 2.1 Требования по срокам поставки продукции</w:t>
              <w:tab/>
              <w:t>4</w:t>
            </w:r>
          </w:hyperlink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2430_3630896084">
            <w:r>
              <w:rPr>
                <w:webHidden/>
                <w:rStyle w:val="Style14"/>
                <w:vanish w:val="false"/>
              </w:rPr>
              <w:t>Таблица 3. Требования к качеству продукции</w:t>
              <w:tab/>
              <w:t>5</w:t>
            </w:r>
          </w:hyperlink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2432_3630896084">
            <w:r>
              <w:rPr>
                <w:webHidden/>
                <w:rStyle w:val="Style14"/>
                <w:vanish w:val="false"/>
              </w:rPr>
              <w:t>3. Требования к документации по ценообразованию на этапе закупки</w:t>
              <w:tab/>
            </w:r>
          </w:hyperlink>
          <w:r>
            <w:rPr>
              <w:vanish w:val="false"/>
            </w:rPr>
            <w:t>11</w:t>
          </w:r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2434_3630896084">
            <w:r>
              <w:rPr>
                <w:webHidden/>
                <w:rStyle w:val="Style14"/>
                <w:vanish w:val="false"/>
              </w:rPr>
              <w:t>4. Приложения</w:t>
              <w:tab/>
              <w:t>1</w:t>
            </w:r>
          </w:hyperlink>
          <w:r>
            <w:rPr>
              <w:vanish w:val="false"/>
            </w:rPr>
            <w:t>1</w:t>
          </w:r>
        </w:p>
        <w:p>
          <w:pPr>
            <w:pStyle w:val="TOC4"/>
            <w:tabs>
              <w:tab w:val="clear" w:pos="708"/>
              <w:tab w:val="right" w:pos="9921" w:leader="dot"/>
            </w:tabs>
            <w:rPr/>
          </w:pPr>
          <w:hyperlink w:anchor="__RefHeading___Toc2436_3630896084">
            <w:r>
              <w:rPr>
                <w:webHidden/>
                <w:rStyle w:val="Style14"/>
                <w:vanish w:val="false"/>
              </w:rPr>
              <w:t>Приложение 1</w:t>
              <w:tab/>
              <w:t>1</w:t>
            </w:r>
          </w:hyperlink>
          <w:r>
            <w:rPr>
              <w:vanish w:val="false"/>
            </w:rPr>
            <w:t>2</w:t>
          </w:r>
          <w:r>
            <w:rPr>
              <w:vanish w:val="false"/>
            </w:rPr>
            <w:fldChar w:fldCharType="end"/>
          </w:r>
        </w:p>
      </w:sdtContent>
    </w:sdt>
    <w:p>
      <w:pPr>
        <w:pStyle w:val="TOC1"/>
        <w:tabs>
          <w:tab w:val="clear" w:pos="708"/>
          <w:tab w:val="left" w:pos="560" w:leader="none"/>
          <w:tab w:val="right" w:pos="9911" w:leader="dot"/>
        </w:tabs>
        <w:rPr>
          <w:rFonts w:ascii="Calibri" w:hAnsi="Calibri" w:eastAsia="" w:cs="" w:asciiTheme="minorHAnsi" w:cstheme="minorBidi" w:eastAsiaTheme="minorEastAsia" w:hAnsiTheme="minorHAnsi"/>
          <w:b w:val="false"/>
          <w:bCs w:val="false"/>
          <w:sz w:val="22"/>
          <w:szCs w:val="22"/>
        </w:rPr>
      </w:pPr>
      <w:r>
        <w:rPr>
          <w:rFonts w:eastAsia="" w:cs="" w:cstheme="minorBidi" w:eastAsiaTheme="minorEastAsia" w:ascii="Calibri" w:hAnsi="Calibri"/>
          <w:b w:val="false"/>
          <w:bCs w:val="false"/>
          <w:sz w:val="22"/>
          <w:szCs w:val="22"/>
        </w:rPr>
      </w:r>
    </w:p>
    <w:p>
      <w:pPr>
        <w:pStyle w:val="Heading2"/>
        <w:tabs>
          <w:tab w:val="clear" w:pos="0"/>
        </w:tabs>
        <w:ind w:left="0" w:hanging="0"/>
        <w:rPr>
          <w:b w:val="false"/>
          <w:i/>
          <w:i/>
        </w:rPr>
      </w:pPr>
      <w:r>
        <w:rPr>
          <w:b w:val="false"/>
          <w:i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/>
      </w:r>
    </w:p>
    <w:p>
      <w:pPr>
        <w:pStyle w:val="Heading1"/>
        <w:keepLines/>
        <w:numPr>
          <w:ilvl w:val="0"/>
          <w:numId w:val="1"/>
        </w:numPr>
        <w:ind w:left="357" w:hanging="357"/>
        <w:jc w:val="center"/>
        <w:rPr>
          <w:caps/>
          <w:lang w:val="ru-RU"/>
        </w:rPr>
      </w:pPr>
      <w:bookmarkStart w:id="0" w:name="__RefHeading___Toc2412_3630896084"/>
      <w:bookmarkStart w:id="1" w:name="_Toc51339692"/>
      <w:bookmarkStart w:id="2" w:name="_Toc173917892"/>
      <w:bookmarkEnd w:id="0"/>
      <w:r>
        <w:rPr>
          <w:lang w:val="ru-RU"/>
        </w:rPr>
        <w:t>Общие сведения</w:t>
      </w:r>
      <w:bookmarkEnd w:id="1"/>
      <w:bookmarkEnd w:id="2"/>
    </w:p>
    <w:p>
      <w:pPr>
        <w:pStyle w:val="Heading4"/>
        <w:numPr>
          <w:ilvl w:val="1"/>
          <w:numId w:val="1"/>
        </w:numPr>
        <w:rPr/>
      </w:pPr>
      <w:bookmarkStart w:id="3" w:name="__RefHeading___Toc2414_3630896084"/>
      <w:bookmarkStart w:id="4" w:name="_Toc46743505"/>
      <w:bookmarkStart w:id="5" w:name="_Toc173917893"/>
      <w:bookmarkEnd w:id="3"/>
      <w:r>
        <w:rPr/>
        <w:t>Обозначения и сокращения</w:t>
      </w:r>
      <w:bookmarkEnd w:id="4"/>
      <w:bookmarkEnd w:id="5"/>
    </w:p>
    <w:p>
      <w:pPr>
        <w:pStyle w:val="Normal"/>
        <w:rPr>
          <w:rStyle w:val="Style8"/>
          <w:b w:val="false"/>
          <w:bCs/>
          <w:iCs/>
          <w:sz w:val="26"/>
          <w:szCs w:val="26"/>
        </w:rPr>
      </w:pPr>
      <w:r>
        <w:rPr>
          <w:b w:val="false"/>
          <w:bCs/>
          <w:iCs/>
          <w:sz w:val="26"/>
          <w:szCs w:val="26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 w:val="false"/>
                <w:i w:val="false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стандарт организации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 w:val="false"/>
                <w:i w:val="false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 w:val="false"/>
                <w:i w:val="false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ГОСТ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государственный общероссийский стандарт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Heading4"/>
        <w:numPr>
          <w:ilvl w:val="1"/>
          <w:numId w:val="1"/>
        </w:numPr>
        <w:jc w:val="left"/>
        <w:rPr/>
      </w:pPr>
      <w:bookmarkStart w:id="6" w:name="__RefHeading___Toc2416_3630896084"/>
      <w:bookmarkStart w:id="7" w:name="_Toc46743506"/>
      <w:bookmarkStart w:id="8" w:name="_Toc173917894"/>
      <w:bookmarkEnd w:id="6"/>
      <w:r>
        <w:rPr/>
        <w:t>Наименование закупаемой продукции</w:t>
      </w:r>
      <w:bookmarkEnd w:id="7"/>
      <w:bookmarkEnd w:id="8"/>
    </w:p>
    <w:p>
      <w:pPr>
        <w:pStyle w:val="Style34"/>
        <w:widowControl w:val="false"/>
        <w:spacing w:before="0" w:after="198"/>
        <w:contextualSpacing/>
        <w:jc w:val="left"/>
        <w:rPr/>
      </w:pPr>
      <w:r>
        <w:rPr>
          <w:rStyle w:val="Style8"/>
          <w:rFonts w:eastAsia="Calibri" w:cs="Times New Roman" w:eastAsiaTheme="minorHAnsi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kern w:val="0"/>
          <w:sz w:val="24"/>
          <w:szCs w:val="24"/>
          <w:u w:val="none"/>
          <w:shd w:fill="auto" w:val="clear"/>
          <w:lang w:val="ru-RU" w:eastAsia="en-US" w:bidi="ar-SA"/>
        </w:rPr>
        <w:t xml:space="preserve">Поставка песчано-гравийной смеси </w:t>
      </w:r>
      <w:r>
        <w:rPr>
          <w:rStyle w:val="Style8"/>
          <w:rFonts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kern w:val="0"/>
          <w:sz w:val="24"/>
          <w:szCs w:val="24"/>
          <w:u w:val="none"/>
          <w:shd w:fill="auto" w:val="clear"/>
          <w:lang w:val="en-US" w:eastAsia="ru-RU" w:bidi="ar-SA"/>
        </w:rPr>
        <w:t xml:space="preserve">для ДЭС </w:t>
      </w:r>
      <w:r>
        <w:rPr>
          <w:rStyle w:val="Style8"/>
          <w:rFonts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kern w:val="0"/>
          <w:sz w:val="24"/>
          <w:szCs w:val="24"/>
          <w:u w:val="none"/>
          <w:shd w:fill="auto" w:val="clear"/>
          <w:lang w:val="en-US" w:eastAsia="ru-RU" w:bidi="ar-SA"/>
        </w:rPr>
        <w:t>Намы</w:t>
      </w:r>
    </w:p>
    <w:p>
      <w:pPr>
        <w:pStyle w:val="Heading1"/>
        <w:keepLines/>
        <w:numPr>
          <w:ilvl w:val="0"/>
          <w:numId w:val="1"/>
        </w:numPr>
        <w:ind w:left="357" w:hanging="357"/>
        <w:jc w:val="center"/>
        <w:rPr/>
      </w:pPr>
      <w:bookmarkStart w:id="9" w:name="__RefHeading___Toc2418_3630896084"/>
      <w:bookmarkStart w:id="10" w:name="_Toc51339693"/>
      <w:bookmarkStart w:id="11" w:name="_Toc173917895"/>
      <w:bookmarkStart w:id="12" w:name="_Toc50125126"/>
      <w:bookmarkEnd w:id="9"/>
      <w:bookmarkEnd w:id="12"/>
      <w:r>
        <w:rPr>
          <w:iCs/>
        </w:rPr>
        <w:t>Требования к продукции</w:t>
      </w:r>
      <w:bookmarkEnd w:id="10"/>
      <w:bookmarkEnd w:id="11"/>
    </w:p>
    <w:p>
      <w:pPr>
        <w:pStyle w:val="Heading4"/>
        <w:numPr>
          <w:ilvl w:val="1"/>
          <w:numId w:val="1"/>
        </w:numPr>
        <w:jc w:val="left"/>
        <w:rPr/>
      </w:pPr>
      <w:bookmarkStart w:id="13" w:name="__RefHeading___Toc2420_3630896084"/>
      <w:bookmarkStart w:id="14" w:name="_Toc173917896"/>
      <w:bookmarkEnd w:id="13"/>
      <w:r>
        <w:rPr/>
        <w:t xml:space="preserve">Требования к объемам и срокам </w:t>
      </w:r>
      <w:r>
        <w:rPr>
          <w:lang w:val="ru-RU"/>
        </w:rPr>
        <w:t>поставки</w:t>
      </w:r>
      <w:bookmarkEnd w:id="14"/>
    </w:p>
    <w:p>
      <w:pPr>
        <w:pStyle w:val="Heading3"/>
        <w:numPr>
          <w:ilvl w:val="2"/>
          <w:numId w:val="1"/>
        </w:numPr>
        <w:jc w:val="left"/>
        <w:rPr/>
      </w:pPr>
      <w:bookmarkStart w:id="15" w:name="__RefHeading___Toc2422_3630896084"/>
      <w:bookmarkStart w:id="16" w:name="_Toc173917897"/>
      <w:bookmarkEnd w:id="15"/>
      <w:r>
        <w:rPr>
          <w:lang w:val="ru-RU"/>
        </w:rPr>
        <w:t>Перечень и объем закупаемой продукции</w:t>
      </w:r>
      <w:bookmarkEnd w:id="16"/>
    </w:p>
    <w:p>
      <w:pPr>
        <w:pStyle w:val="Heading1"/>
        <w:keepLines/>
        <w:tabs>
          <w:tab w:val="clear" w:pos="0"/>
        </w:tabs>
        <w:spacing w:before="240" w:after="60"/>
        <w:ind w:left="0" w:hanging="0"/>
        <w:jc w:val="left"/>
        <w:rPr>
          <w:sz w:val="24"/>
          <w:szCs w:val="24"/>
          <w:lang w:val="ru-RU"/>
        </w:rPr>
      </w:pPr>
      <w:bookmarkStart w:id="17" w:name="__RefHeading___Toc2424_3630896084"/>
      <w:bookmarkStart w:id="18" w:name="_Toc173917898"/>
      <w:bookmarkStart w:id="19" w:name="_Toc51339695"/>
      <w:bookmarkEnd w:id="17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1.1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19"/>
      <w:r>
        <w:rPr>
          <w:sz w:val="24"/>
          <w:szCs w:val="24"/>
          <w:lang w:val="ru-RU"/>
        </w:rPr>
        <w:t>и объем закупаемой продукции</w:t>
      </w:r>
      <w:bookmarkEnd w:id="18"/>
    </w:p>
    <w:tbl>
      <w:tblPr>
        <w:tblW w:w="9810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649"/>
        <w:gridCol w:w="2450"/>
        <w:gridCol w:w="1421"/>
        <w:gridCol w:w="1389"/>
        <w:gridCol w:w="1456"/>
        <w:gridCol w:w="2444"/>
      </w:tblGrid>
      <w:tr>
        <w:trPr/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продукции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ind w:right="-79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Код</w:t>
            </w:r>
          </w:p>
          <w:p>
            <w:pPr>
              <w:pStyle w:val="Normal"/>
              <w:widowControl w:val="false"/>
              <w:ind w:right="-79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ОКПД 2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Применение законодательства о национальном режиме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4"/>
              <w:widowControl w:val="false"/>
              <w:jc w:val="center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bCs/>
                <w:color w:val="auto"/>
                <w:kern w:val="0"/>
                <w:sz w:val="20"/>
                <w:szCs w:val="20"/>
                <w:lang w:val="ru-RU" w:eastAsia="ru-RU" w:bidi="ar-SA"/>
              </w:rPr>
              <w:t>6</w:t>
            </w:r>
          </w:p>
        </w:tc>
      </w:tr>
      <w:tr>
        <w:trPr/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Смесь песчано-гравийная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442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08.12.12.160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4"/>
              <w:widowControl w:val="false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Национальный режим не предоставляется – преимущество</w:t>
            </w:r>
          </w:p>
        </w:tc>
      </w:tr>
    </w:tbl>
    <w:p>
      <w:pPr>
        <w:pStyle w:val="Heading3"/>
        <w:numPr>
          <w:ilvl w:val="2"/>
          <w:numId w:val="1"/>
        </w:numPr>
        <w:rPr>
          <w:lang w:val="ru-RU"/>
        </w:rPr>
      </w:pPr>
      <w:bookmarkStart w:id="20" w:name="__RefHeading___Toc2426_3630896084"/>
      <w:bookmarkEnd w:id="20"/>
      <w:r>
        <w:rPr>
          <w:rFonts w:eastAsia="Calibri"/>
          <w:b/>
          <w:sz w:val="24"/>
          <w:szCs w:val="24"/>
          <w:lang w:val="ru-RU" w:eastAsia="x-none"/>
        </w:rPr>
        <w:t>Объем поставки по местам поставки приведен в Приложении 2 к настоящим Техническим требованиям</w:t>
      </w:r>
    </w:p>
    <w:p>
      <w:pPr>
        <w:pStyle w:val="Heading1"/>
        <w:keepLines/>
        <w:tabs>
          <w:tab w:val="clear" w:pos="0"/>
        </w:tabs>
        <w:spacing w:before="240" w:after="60"/>
        <w:ind w:left="0" w:hanging="0"/>
        <w:jc w:val="left"/>
        <w:rPr>
          <w:sz w:val="24"/>
          <w:szCs w:val="24"/>
          <w:lang w:val="ru-RU"/>
        </w:rPr>
      </w:pPr>
      <w:bookmarkStart w:id="21" w:name="__RefHeading___Toc2428_3630896084"/>
      <w:bookmarkStart w:id="22" w:name="_Toc173917900"/>
      <w:bookmarkStart w:id="23" w:name="_Toc51339697"/>
      <w:bookmarkStart w:id="24" w:name="_Toc50125127"/>
      <w:bookmarkStart w:id="25" w:name="_Toc50125126_Копия_1"/>
      <w:bookmarkEnd w:id="21"/>
      <w:bookmarkEnd w:id="2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 xml:space="preserve"> </w:t>
      </w:r>
      <w:bookmarkStart w:id="26" w:name="_Hlk50465284"/>
      <w:r>
        <w:rPr>
          <w:sz w:val="24"/>
          <w:szCs w:val="24"/>
        </w:rPr>
        <w:t xml:space="preserve">Требования по срокам </w:t>
      </w:r>
      <w:bookmarkEnd w:id="23"/>
      <w:bookmarkEnd w:id="24"/>
      <w:bookmarkEnd w:id="26"/>
      <w:r>
        <w:rPr>
          <w:sz w:val="24"/>
          <w:szCs w:val="24"/>
          <w:lang w:val="ru-RU"/>
        </w:rPr>
        <w:t>поставки продукции</w:t>
      </w:r>
      <w:bookmarkEnd w:id="22"/>
      <w:r>
        <w:rPr>
          <w:sz w:val="24"/>
          <w:szCs w:val="24"/>
          <w:lang w:val="ru-RU"/>
        </w:rPr>
        <w:t xml:space="preserve"> </w:t>
      </w:r>
    </w:p>
    <w:tbl>
      <w:tblPr>
        <w:tblW w:w="9776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131"/>
        <w:gridCol w:w="2549"/>
        <w:gridCol w:w="2980"/>
        <w:gridCol w:w="3115"/>
      </w:tblGrid>
      <w:tr>
        <w:trPr/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>
        <w:trPr>
          <w:trHeight w:val="77" w:hRule="atLeast"/>
        </w:trPr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28"/>
              <w:widowControl w:val="false"/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bookmarkStart w:id="27" w:name="_Toc46743510"/>
            <w:r>
              <w:rPr>
                <w:b/>
                <w:sz w:val="24"/>
                <w:szCs w:val="24"/>
              </w:rPr>
              <w:t>4</w:t>
            </w:r>
            <w:bookmarkEnd w:id="27"/>
          </w:p>
        </w:tc>
      </w:tr>
      <w:tr>
        <w:trPr/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ind w:left="720" w:hanging="0"/>
              <w:jc w:val="center"/>
              <w:rPr/>
            </w:pPr>
            <w:r>
              <w:rPr/>
              <w:t>1.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4"/>
              <w:widowControl w:val="false"/>
              <w:jc w:val="left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Смесь песчано-гравийная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  <w:sz w:val="20"/>
                <w:szCs w:val="24"/>
              </w:rPr>
              <w:t>Начало – не ранее 11 января 2027 г.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  <w:sz w:val="20"/>
                <w:szCs w:val="24"/>
              </w:rPr>
              <w:t>Окончание – не позднее 31 марта 2027 г.</w:t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Heading1"/>
        <w:keepLines/>
        <w:tabs>
          <w:tab w:val="clear" w:pos="0"/>
        </w:tabs>
        <w:spacing w:before="240" w:after="60"/>
        <w:ind w:left="0" w:hanging="0"/>
        <w:jc w:val="left"/>
        <w:rPr/>
      </w:pPr>
      <w:bookmarkStart w:id="28" w:name="__RefHeading___Toc2430_3630896084"/>
      <w:bookmarkStart w:id="29" w:name="_Toc148889124"/>
      <w:bookmarkStart w:id="30" w:name="_Toc173917767"/>
      <w:bookmarkStart w:id="31" w:name="_Toc173917901"/>
      <w:bookmarkStart w:id="32" w:name="_Toc51339698"/>
      <w:bookmarkEnd w:id="28"/>
      <w:bookmarkEnd w:id="32"/>
      <w:r>
        <w:rPr/>
        <w:t>Таблица </w:t>
      </w:r>
      <w:r>
        <w:rPr>
          <w:lang w:val="ru-RU"/>
        </w:rPr>
        <w:t>3</w:t>
      </w:r>
      <w:r>
        <w:rPr/>
        <w:t xml:space="preserve">. Требования к </w:t>
      </w:r>
      <w:r>
        <w:rPr>
          <w:lang w:val="ru-RU"/>
        </w:rPr>
        <w:t>качеству продукции</w:t>
      </w:r>
      <w:bookmarkEnd w:id="29"/>
      <w:bookmarkEnd w:id="30"/>
      <w:bookmarkEnd w:id="31"/>
    </w:p>
    <w:tbl>
      <w:tblPr>
        <w:tblStyle w:val="affff7"/>
        <w:tblW w:w="1530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49"/>
        <w:gridCol w:w="1814"/>
        <w:gridCol w:w="4821"/>
        <w:gridCol w:w="2693"/>
        <w:gridCol w:w="3118"/>
        <w:gridCol w:w="2013"/>
      </w:tblGrid>
      <w:tr>
        <w:trPr/>
        <w:tc>
          <w:tcPr>
            <w:tcW w:w="84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1814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482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581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013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84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14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82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9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31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013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8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48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269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31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20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</w:tr>
      <w:tr>
        <w:trPr/>
        <w:tc>
          <w:tcPr>
            <w:tcW w:w="84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663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31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4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6635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в отношении каждой позиции продукции приведены в Приложении 1 к настоящим Техническим требованиям</w:t>
            </w:r>
          </w:p>
        </w:tc>
        <w:tc>
          <w:tcPr>
            <w:tcW w:w="269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Указание характеристик предлагаемой продукции посредством включения в Техническое предложение участника таблицы Приложения №1 к Техническим требованиям, заполненной в части раздела «Предложение участника»</w:t>
            </w:r>
          </w:p>
        </w:tc>
        <w:tc>
          <w:tcPr>
            <w:tcW w:w="3118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01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4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663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конструкции, изготовлению и материалам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31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4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6635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в отношении каждой позиции продукции представлены в Приложении 1 к настоящим Техническим требованиям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Указание характеристик предлагаемой продукции посредством включения в Техническое предложение участника таблицы Приложения №1 к Техническим требованиям, заполненной в части раздела «Предложение участника»</w:t>
            </w:r>
          </w:p>
        </w:tc>
        <w:tc>
          <w:tcPr>
            <w:tcW w:w="31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4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663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31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Климатическое исполнение поставляемого материала</w:t>
            </w:r>
          </w:p>
        </w:tc>
        <w:tc>
          <w:tcPr>
            <w:tcW w:w="4821" w:type="dxa"/>
            <w:tcBorders/>
            <w:vAlign w:val="center"/>
          </w:tcPr>
          <w:p>
            <w:pPr>
              <w:pStyle w:val="Normal"/>
              <w:widowControl w:val="false"/>
              <w:jc w:val="left"/>
              <w:rPr/>
            </w:pPr>
            <w:r>
              <w:rPr>
                <w:b w:val="false"/>
                <w:bCs w:val="false"/>
                <w:i/>
                <w:iCs/>
                <w:sz w:val="24"/>
                <w:szCs w:val="24"/>
                <w:lang w:val="ru-RU" w:eastAsia="ru-RU" w:bidi="ar-SA"/>
              </w:rPr>
              <w:t xml:space="preserve">Климатическое исполнение по ГОСТ 15150-69 не устанавливается, так как закупаемый материал является нерудным строительным сырьем. Климатическая стойкость материала определяется его физико-механическими свойствами в соответствии с </w:t>
            </w:r>
            <w:r>
              <w:rPr>
                <w:rStyle w:val="Strong"/>
                <w:b w:val="false"/>
                <w:bCs w:val="false"/>
                <w:i/>
                <w:iCs/>
                <w:sz w:val="24"/>
                <w:szCs w:val="24"/>
                <w:lang w:val="ru-RU" w:eastAsia="ru-RU" w:bidi="ar-SA"/>
              </w:rPr>
              <w:t>ГОСТ 23735-2014</w:t>
            </w:r>
            <w:r>
              <w:rPr>
                <w:b w:val="false"/>
                <w:bCs w:val="false"/>
                <w:i/>
                <w:iCs/>
                <w:sz w:val="24"/>
                <w:szCs w:val="24"/>
                <w:lang w:val="ru-RU" w:eastAsia="ru-RU" w:bidi="ar-SA"/>
              </w:rPr>
              <w:t xml:space="preserve"> и должна обеспечивать возможность долгосрочной эксплуатации материала в </w:t>
            </w:r>
            <w:r>
              <w:rPr>
                <w:rStyle w:val="Strong"/>
                <w:b w:val="false"/>
                <w:bCs w:val="false"/>
                <w:i/>
                <w:iCs/>
                <w:sz w:val="24"/>
                <w:szCs w:val="24"/>
                <w:lang w:val="ru-RU" w:eastAsia="ru-RU" w:bidi="ar-SA"/>
              </w:rPr>
              <w:t>I климатическом районе</w:t>
            </w:r>
            <w:r>
              <w:rPr>
                <w:b w:val="false"/>
                <w:bCs w:val="false"/>
                <w:i/>
                <w:iCs/>
                <w:sz w:val="24"/>
                <w:szCs w:val="24"/>
                <w:lang w:val="ru-RU" w:eastAsia="ru-RU" w:bidi="ar-SA"/>
              </w:rPr>
              <w:t xml:space="preserve"> (в условиях экстремально низких температур и многолетнемерзлых грунтов Республики Саха (Якутия)) по СП 131.13330.2020 «Строительная климатология».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31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4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663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31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4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Требования к транспортированию и упаковке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482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- Не позднее 24 часов до начала отгрузки материала Поставщик обязан направить на электронный адрес atlasovaao@rushydro.ru письменное уведомление о начале транспортировки.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>Транспортировка осуществляется навалом в открытых железнодорожных вагонах, судах и большегрузных автомобилях.</w:t>
            </w:r>
          </w:p>
          <w:p>
            <w:pPr>
              <w:pStyle w:val="Normal"/>
              <w:widowControl w:val="false"/>
              <w:bidi w:val="0"/>
              <w:jc w:val="left"/>
              <w:rPr>
                <w:sz w:val="24"/>
                <w:szCs w:val="24"/>
              </w:rPr>
            </w:pPr>
            <w:r>
              <w:rPr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</w:rPr>
              <w:t>- Поставщик обязан обеспечить условия транспортировки, исключающие расслоение (сегрегацию) смеси, ее загрязнение посторонними примесями и переувлажнение.</w:t>
            </w:r>
          </w:p>
          <w:p>
            <w:pPr>
              <w:pStyle w:val="Normal"/>
              <w:widowControl w:val="false"/>
              <w:bidi w:val="0"/>
              <w:jc w:val="left"/>
              <w:rPr>
                <w:sz w:val="24"/>
                <w:szCs w:val="24"/>
              </w:rPr>
            </w:pPr>
            <w:r>
              <w:rPr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</w:rPr>
              <w:t>- При перевозке автотранспортом кузова должны быть укрыты пологами (тентами) для предотвращения выветривания мелких фракций и загрязнения окружающей среды.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>- Каждая партия товара должна сопровождаться оригиналом паспорта качества (сертификата соответствия) согласно ГОСТ 23735-2014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3118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Требования к маркировке</w:t>
            </w:r>
          </w:p>
        </w:tc>
        <w:tc>
          <w:tcPr>
            <w:tcW w:w="4821" w:type="dxa"/>
            <w:tcBorders/>
          </w:tcPr>
          <w:p>
            <w:pPr>
              <w:pStyle w:val="BodyText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lineRule="auto" w:line="240" w:before="0" w:after="119"/>
              <w:ind w:left="113" w:right="0" w:hanging="0"/>
              <w:contextualSpacing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>1. И</w:t>
            </w: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>нформация о товаре указывается в товарно-транспортной накладной и паспорте (сертификате) качества на каждую партию.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lineRule="auto" w:line="240" w:before="0" w:after="119"/>
              <w:ind w:left="113" w:right="0" w:hanging="0"/>
              <w:contextualSpacing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2. Обязательные сведения: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lineRule="auto" w:line="240" w:before="0" w:after="119"/>
              <w:ind w:left="113" w:right="0" w:hanging="0"/>
              <w:contextualSpacing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1) Наименование и адрес предприятия-изготовителя.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lineRule="auto" w:line="240" w:before="0" w:after="119"/>
              <w:ind w:left="113" w:right="0" w:hanging="0"/>
              <w:contextualSpacing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2) Условное обозначение смеси.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lineRule="auto" w:line="240" w:before="0" w:after="119"/>
              <w:ind w:left="113" w:right="0" w:hanging="0"/>
              <w:contextualSpacing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3) Номер партии и дата отгрузки.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lineRule="auto" w:line="240" w:before="0" w:after="119"/>
              <w:ind w:left="113" w:right="0" w:hanging="0"/>
              <w:contextualSpacing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</w:rPr>
              <w:t>4) Масса (в тоннах) или объем (в м³) поставляемого материала.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lineRule="auto" w:line="240" w:before="0" w:after="119"/>
              <w:ind w:left="113" w:right="0" w:hanging="0"/>
              <w:contextualSpacing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>5) Содержание гравия (в процентах).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31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uppressAutoHyphens w:val="true"/>
              <w:spacing w:before="60" w:after="60"/>
              <w:ind w:left="-117" w:firstLine="142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Место поставки</w:t>
            </w:r>
          </w:p>
        </w:tc>
        <w:tc>
          <w:tcPr>
            <w:tcW w:w="482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 xml:space="preserve">Приемка товара по количеству и качеству осуществляется по адресу: </w:t>
            </w:r>
            <w:r>
              <w:rPr>
                <w:rFonts w:eastAsia="Calibri" w:cs=""/>
                <w:i/>
                <w:iCs/>
                <w:color w:val="000000"/>
                <w:kern w:val="0"/>
                <w:sz w:val="24"/>
                <w:szCs w:val="24"/>
                <w:lang w:val="ru-RU" w:eastAsia="en-US" w:bidi="ar-SA"/>
              </w:rPr>
              <w:t>РС(Я), Булунский район, с. Намы, ДЭС Намы.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В случае несоответствия поставленной продукции требованиям технического задания, Поставщик за свой счет производит замену несоответствующего товара согласованный между сторонами срок, в противном случае вся партия товара принята Заказчиком не будет.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31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4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663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гарантиям, гарантийному и послегарантийному обслуживанию</w:t>
            </w:r>
          </w:p>
          <w:p>
            <w:pPr>
              <w:pStyle w:val="Normal"/>
              <w:widowControl w:val="false"/>
              <w:suppressAutoHyphens w:val="true"/>
              <w:spacing w:before="2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2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3118" w:type="dxa"/>
            <w:tcBorders/>
          </w:tcPr>
          <w:p>
            <w:pPr>
              <w:pStyle w:val="Normal"/>
              <w:widowControl w:val="false"/>
              <w:suppressAutoHyphens w:val="true"/>
              <w:spacing w:before="2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 w:val="false"/>
              <w:suppressAutoHyphens w:val="true"/>
              <w:spacing w:before="2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Срок эксплуатации</w:t>
            </w:r>
          </w:p>
        </w:tc>
        <w:tc>
          <w:tcPr>
            <w:tcW w:w="482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kern w:val="0"/>
                <w:sz w:val="24"/>
                <w:szCs w:val="24"/>
                <w:lang w:val="ru-RU" w:eastAsia="ru-RU" w:bidi="ar-SA"/>
              </w:rPr>
              <w:t>Ср</w:t>
            </w:r>
            <w:r>
              <w:rPr>
                <w:rFonts w:eastAsia="Times New Roman" w:cs="Times New Roman"/>
                <w:b w:val="false"/>
                <w:bCs w:val="false"/>
                <w:i/>
                <w:iCs/>
                <w:kern w:val="0"/>
                <w:sz w:val="24"/>
                <w:szCs w:val="24"/>
                <w:u w:val="none"/>
                <w:lang w:val="ru-RU" w:eastAsia="ru-RU" w:bidi="ar-SA"/>
              </w:rPr>
              <w:t xml:space="preserve">ок годности до момента вовлечения в производство (замеса бетона или укладки в отсыпку) </w:t>
            </w:r>
            <w:r>
              <w:rPr>
                <w:rStyle w:val="Strong"/>
                <w:rFonts w:eastAsia="Times New Roman" w:cs="Times New Roman"/>
                <w:b w:val="false"/>
                <w:bCs w:val="false"/>
                <w:i/>
                <w:iCs/>
                <w:strike w:val="false"/>
                <w:dstrike w:val="false"/>
                <w:kern w:val="0"/>
                <w:sz w:val="24"/>
                <w:szCs w:val="24"/>
                <w:u w:val="none"/>
                <w:effect w:val="none"/>
                <w:lang w:val="ru-RU" w:eastAsia="ru-RU" w:bidi="ar-SA"/>
              </w:rPr>
              <w:t>не ограничен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Указание характеристик (конкретный эксплуатационный срок, не менее установленного в требовании)</w:t>
            </w:r>
          </w:p>
        </w:tc>
        <w:tc>
          <w:tcPr>
            <w:tcW w:w="311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4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013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4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6635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3118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Документы, передаваемые вместе с материалом</w:t>
            </w:r>
          </w:p>
        </w:tc>
        <w:tc>
          <w:tcPr>
            <w:tcW w:w="4821" w:type="dxa"/>
            <w:tcBorders/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318" w:leader="none"/>
              </w:tabs>
              <w:spacing w:before="0" w:after="0"/>
              <w:ind w:left="35" w:hanging="0"/>
              <w:contextualSpacing/>
              <w:jc w:val="left"/>
              <w:rPr>
                <w:i/>
                <w:i/>
                <w:iCs/>
              </w:rPr>
            </w:pPr>
            <w:r>
              <w:rPr>
                <w:rFonts w:cs="Times New Roman"/>
                <w:i/>
                <w:iCs/>
                <w:kern w:val="0"/>
                <w:lang w:val="ru-RU" w:eastAsia="ru-RU" w:bidi="ar-SA"/>
              </w:rPr>
              <w:t>Поставщик обязан одновременно с передачей товара передать Покупателю относящиеся к нему документы, оформленные надлежащим образом: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left="360" w:hanging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- сертификаты качества;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left="360" w:hanging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- технические паспорта;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left="360" w:hanging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- товарно-транспортную накладную формы №1-Т;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left="360" w:hanging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- товарную накладную унифицированной формы ТОРГ-12 /УПД в 2 экз.;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left="360" w:hanging="0"/>
              <w:jc w:val="left"/>
              <w:rPr>
                <w:i/>
                <w:i/>
                <w:iCs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- протоколы заводских испытаний.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31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49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663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Прочие (дополнительные) требования к продукции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3118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Сведения о новизне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48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Поставляемая продукция должна быть новой (не бывшей в эксплуатации, не допускается поставка выставочных образцов), свободной от третьих лиц и работоспособной.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 xml:space="preserve">Дата выпуска: Не ранее </w:t>
            </w: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en-US" w:eastAsia="ru-RU" w:bidi="ar-SA"/>
              </w:rPr>
              <w:t>IV</w:t>
            </w: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 xml:space="preserve"> квартала 2026 года.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31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Условия поставки эквивалентной продукции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482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318" w:leader="none"/>
              </w:tabs>
              <w:spacing w:before="0" w:after="0"/>
              <w:ind w:left="35" w:hanging="0"/>
              <w:contextualSpacing/>
              <w:jc w:val="left"/>
              <w:rPr>
                <w:i/>
                <w:i/>
                <w:iCs/>
              </w:rPr>
            </w:pPr>
            <w:r>
              <w:rPr>
                <w:rFonts w:cs="Times New Roman"/>
                <w:i/>
                <w:iCs/>
                <w:kern w:val="0"/>
                <w:lang w:val="ru-RU" w:eastAsia="ru-RU" w:bidi="ar-SA"/>
              </w:rPr>
              <w:t>Участник должен принять во внимание, что ссылка на марку (тип) продукции, носит описательный, а не обязательный характер. В случае если Участником предлагаются эквиваленты требуемого Заказчиком провода или его составных частей, в составе своего технического предложения он должен в обязательном порядке предоставить подробное техническое описание предлагаемого к поставке эквивалента, в объеме не меньшем, чем это указано в настоящих Технических требованиях. Отсутствие в составе технико-коммерческого предложения подробного технического описания эквивалента продукции будет являться причиной отклонения предложения Участника.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318" w:leader="none"/>
              </w:tabs>
              <w:spacing w:before="0" w:after="0"/>
              <w:ind w:left="35" w:hanging="0"/>
              <w:contextualSpacing/>
              <w:jc w:val="left"/>
              <w:rPr>
                <w:i/>
                <w:i/>
                <w:iCs/>
              </w:rPr>
            </w:pPr>
            <w:r>
              <w:rPr>
                <w:rFonts w:cs="Times New Roman"/>
                <w:i/>
                <w:iCs/>
                <w:kern w:val="0"/>
                <w:lang w:val="ru-RU" w:eastAsia="ru-RU" w:bidi="ar-SA"/>
              </w:rPr>
              <w:t>Эквивалентная продукция - это продукция, которое по техническим и функциональным характеристикам не уступают характеристикам, заявленным в закупочной документации, в том числе по гарантийным срокам и срокам эксплуатации.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31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0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49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4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120"/>
              <w:jc w:val="left"/>
              <w:rPr>
                <w:rFonts w:ascii="Times New Roman" w:hAnsi="Times New Roman" w:eastAsia="Times New Roman" w:cs="Times New Roman"/>
                <w:i/>
                <w:i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i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Требования к происхождению поставляемой продукции</w:t>
            </w:r>
          </w:p>
        </w:tc>
        <w:tc>
          <w:tcPr>
            <w:tcW w:w="482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i/>
                <w:i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i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В соответствии с Постановлением Правительства №1875 от  23.12.2024 г. предоставить информацию и документы, подтверждающие страну происхождения товара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i/>
                <w:i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i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i/>
                <w:i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i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При выборе наилучшего предложения для Заказчика предпочтительным является происхождение товара из Российской Федерации.</w:t>
            </w:r>
          </w:p>
        </w:tc>
        <w:tc>
          <w:tcPr>
            <w:tcW w:w="269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i/>
                <w:i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i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311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i/>
                <w:i/>
                <w:iCs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i/>
                <w:iCs/>
                <w:color w:val="auto"/>
                <w:kern w:val="0"/>
                <w:sz w:val="24"/>
                <w:szCs w:val="28"/>
                <w:lang w:val="ru-RU" w:eastAsia="ru-RU" w:bidi="ar-SA"/>
              </w:rPr>
              <w:t>Для подтверждения происхождения товаров из Российской Федерации предоставить номер реестровой записи из реестра российской промышленной продукции, предусмотренного статьей 17.1 Федерального закона "О промышленной политике в Российской Федерации".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Times New Roman" w:cs="Times New Roman"/>
                <w:i/>
                <w:iCs/>
                <w:color w:val="auto"/>
                <w:kern w:val="0"/>
                <w:sz w:val="24"/>
                <w:szCs w:val="28"/>
                <w:lang w:val="ru-RU" w:eastAsia="ru-RU" w:bidi="ar-SA"/>
              </w:rPr>
              <w:t>Для подтверждения происхождения товаров из государств - членов Евразийского экономического союза, за исключением Российской Федерации предоставить номер реестровой записи из евразийского реестра промышленных товаров государств - членов Евразийского экономического союза</w:t>
            </w:r>
            <w:r>
              <w:rPr>
                <w:rFonts w:eastAsia="Times New Roman" w:cs="Times New Roman"/>
                <w:color w:val="000000"/>
                <w:kern w:val="0"/>
                <w:szCs w:val="24"/>
                <w:shd w:fill="FFFFFF" w:val="clear"/>
                <w:lang w:val="ru-RU" w:eastAsia="ru-RU" w:bidi="ar-SA"/>
              </w:rPr>
              <w:t>.</w:t>
            </w:r>
          </w:p>
        </w:tc>
        <w:tc>
          <w:tcPr>
            <w:tcW w:w="201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Heading1"/>
        <w:keepLines/>
        <w:ind w:left="1224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ind w:hanging="0"/>
        <w:jc w:val="center"/>
        <w:rPr/>
      </w:pPr>
      <w:r>
        <w:rPr/>
      </w:r>
    </w:p>
    <w:p>
      <w:pPr>
        <w:pStyle w:val="Normal"/>
        <w:ind w:hanging="0"/>
        <w:jc w:val="center"/>
        <w:rPr/>
      </w:pPr>
      <w:r>
        <w:rPr/>
      </w:r>
    </w:p>
    <w:p>
      <w:pPr>
        <w:pStyle w:val="Normal"/>
        <w:ind w:hanging="0"/>
        <w:jc w:val="center"/>
        <w:rPr/>
      </w:pPr>
      <w:r>
        <w:rPr/>
      </w:r>
    </w:p>
    <w:p>
      <w:pPr>
        <w:pStyle w:val="Normal"/>
        <w:ind w:hanging="0"/>
        <w:jc w:val="center"/>
        <w:rPr/>
      </w:pPr>
      <w:r>
        <w:rPr/>
      </w:r>
    </w:p>
    <w:p>
      <w:pPr>
        <w:pStyle w:val="Normal"/>
        <w:ind w:hanging="0"/>
        <w:jc w:val="center"/>
        <w:rPr/>
      </w:pPr>
      <w:r>
        <w:rPr/>
      </w:r>
    </w:p>
    <w:p>
      <w:pPr>
        <w:pStyle w:val="Normal"/>
        <w:ind w:hanging="0"/>
        <w:jc w:val="center"/>
        <w:rPr/>
      </w:pPr>
      <w:r>
        <w:rPr/>
      </w:r>
    </w:p>
    <w:p>
      <w:pPr>
        <w:pStyle w:val="Normal"/>
        <w:ind w:hanging="0"/>
        <w:jc w:val="center"/>
        <w:rPr/>
      </w:pPr>
      <w:r>
        <w:rPr/>
      </w:r>
    </w:p>
    <w:p>
      <w:pPr>
        <w:pStyle w:val="Normal"/>
        <w:ind w:hanging="0"/>
        <w:jc w:val="center"/>
        <w:rPr/>
      </w:pPr>
      <w:r>
        <w:rPr/>
      </w:r>
    </w:p>
    <w:p>
      <w:pPr>
        <w:pStyle w:val="Normal"/>
        <w:ind w:hanging="0"/>
        <w:jc w:val="center"/>
        <w:rPr/>
      </w:pPr>
      <w:r>
        <w:rPr/>
      </w:r>
    </w:p>
    <w:p>
      <w:pPr>
        <w:pStyle w:val="Normal"/>
        <w:ind w:hanging="0"/>
        <w:jc w:val="center"/>
        <w:rPr/>
      </w:pPr>
      <w:r>
        <w:rPr/>
      </w:r>
    </w:p>
    <w:p>
      <w:pPr>
        <w:pStyle w:val="Normal"/>
        <w:ind w:hanging="0"/>
        <w:jc w:val="center"/>
        <w:rPr/>
      </w:pPr>
      <w:r>
        <w:rPr/>
      </w:r>
    </w:p>
    <w:p>
      <w:pPr>
        <w:pStyle w:val="Normal"/>
        <w:ind w:hanging="0"/>
        <w:jc w:val="center"/>
        <w:rPr/>
      </w:pPr>
      <w:r>
        <w:rPr/>
      </w:r>
    </w:p>
    <w:p>
      <w:pPr>
        <w:pStyle w:val="Normal"/>
        <w:ind w:hanging="0"/>
        <w:jc w:val="center"/>
        <w:rPr/>
      </w:pPr>
      <w:r>
        <w:rPr/>
      </w:r>
    </w:p>
    <w:p>
      <w:pPr>
        <w:pStyle w:val="Normal"/>
        <w:ind w:hanging="0"/>
        <w:jc w:val="center"/>
        <w:rPr/>
      </w:pPr>
      <w:r>
        <w:rPr/>
      </w:r>
    </w:p>
    <w:p>
      <w:pPr>
        <w:pStyle w:val="Normal"/>
        <w:ind w:hanging="0"/>
        <w:jc w:val="center"/>
        <w:rPr/>
      </w:pPr>
      <w:r>
        <w:rPr/>
      </w:r>
    </w:p>
    <w:p>
      <w:pPr>
        <w:pStyle w:val="Normal"/>
        <w:ind w:hanging="0"/>
        <w:jc w:val="center"/>
        <w:rPr/>
      </w:pPr>
      <w:r>
        <w:rPr/>
      </w:r>
    </w:p>
    <w:p>
      <w:pPr>
        <w:pStyle w:val="Normal"/>
        <w:ind w:hanging="0"/>
        <w:jc w:val="center"/>
        <w:rPr/>
      </w:pPr>
      <w:r>
        <w:rPr/>
      </w:r>
    </w:p>
    <w:p>
      <w:pPr>
        <w:pStyle w:val="Normal"/>
        <w:ind w:hanging="0"/>
        <w:jc w:val="center"/>
        <w:rPr/>
      </w:pPr>
      <w:r>
        <w:rPr/>
      </w:r>
    </w:p>
    <w:p>
      <w:pPr>
        <w:pStyle w:val="Normal"/>
        <w:ind w:hanging="0"/>
        <w:jc w:val="center"/>
        <w:rPr/>
      </w:pPr>
      <w:r>
        <w:rPr/>
      </w:r>
    </w:p>
    <w:p>
      <w:pPr>
        <w:pStyle w:val="Heading1"/>
        <w:numPr>
          <w:ilvl w:val="0"/>
          <w:numId w:val="1"/>
        </w:numPr>
        <w:ind w:left="357" w:hanging="357"/>
        <w:jc w:val="center"/>
        <w:rPr>
          <w:lang w:val="ru-RU"/>
        </w:rPr>
      </w:pPr>
      <w:bookmarkStart w:id="33" w:name="__RefHeading___Toc2432_3630896084"/>
      <w:bookmarkStart w:id="34" w:name="_Toc173917902"/>
      <w:bookmarkStart w:id="35" w:name="_Toc53393312"/>
      <w:bookmarkEnd w:id="33"/>
      <w:r>
        <w:rPr>
          <w:lang w:val="ru-RU"/>
        </w:rPr>
        <w:t>Требования к документации по ценообразованию</w:t>
      </w:r>
      <w:bookmarkEnd w:id="35"/>
      <w:r>
        <w:rPr>
          <w:lang w:val="ru-RU"/>
        </w:rPr>
        <w:t xml:space="preserve"> на этапе закупки</w:t>
      </w:r>
      <w:bookmarkEnd w:id="34"/>
    </w:p>
    <w:p>
      <w:pPr>
        <w:pStyle w:val="Normal"/>
        <w:rPr>
          <w:lang w:eastAsia="x-none"/>
        </w:rPr>
      </w:pPr>
      <w:r>
        <w:rPr>
          <w:lang w:eastAsia="x-none"/>
        </w:rPr>
      </w:r>
    </w:p>
    <w:p>
      <w:pPr>
        <w:pStyle w:val="Heading1"/>
        <w:keepLines/>
        <w:tabs>
          <w:tab w:val="clear" w:pos="0"/>
        </w:tabs>
        <w:ind w:left="357" w:hanging="0"/>
        <w:rPr>
          <w:iCs/>
        </w:rPr>
      </w:pPr>
      <w:r>
        <w:rPr>
          <w:iCs/>
        </w:rPr>
      </w:r>
    </w:p>
    <w:p>
      <w:pPr>
        <w:pStyle w:val="Normal"/>
        <w:numPr>
          <w:ilvl w:val="1"/>
          <w:numId w:val="3"/>
        </w:numPr>
        <w:spacing w:before="0" w:after="120"/>
        <w:jc w:val="both"/>
        <w:rPr>
          <w:bCs/>
          <w:i/>
          <w:i/>
          <w:iCs/>
          <w:lang w:eastAsia="x-none"/>
        </w:rPr>
      </w:pPr>
      <w:r>
        <w:rPr>
          <w:bCs/>
          <w:i/>
          <w:iCs/>
          <w:lang w:eastAsia="x-none"/>
        </w:rPr>
        <w:t xml:space="preserve">В обоснование стоимости своей заявки Участник предоставляет Коммерческое предложение по форме </w:t>
      </w:r>
      <w:bookmarkStart w:id="36" w:name="_Hlk88325985"/>
      <w:r>
        <w:rPr>
          <w:bCs/>
          <w:i/>
          <w:iCs/>
          <w:lang w:eastAsia="x-none"/>
        </w:rPr>
        <w:t>(с учетом прилагаемой к ней инструкции по заполнению)</w:t>
      </w:r>
      <w:bookmarkEnd w:id="36"/>
      <w:r>
        <w:rPr>
          <w:bCs/>
          <w:i/>
          <w:iCs/>
          <w:lang w:eastAsia="x-none"/>
        </w:rPr>
        <w:t>, приведенной в Документации о закупке.</w:t>
      </w:r>
    </w:p>
    <w:p>
      <w:pPr>
        <w:pStyle w:val="Normal"/>
        <w:numPr>
          <w:ilvl w:val="1"/>
          <w:numId w:val="3"/>
        </w:numPr>
        <w:spacing w:before="0" w:after="120"/>
        <w:jc w:val="both"/>
        <w:rPr>
          <w:bCs/>
          <w:i/>
          <w:i/>
          <w:iCs/>
          <w:lang w:eastAsia="x-none"/>
        </w:rPr>
      </w:pPr>
      <w:bookmarkStart w:id="37" w:name="_Hlk88327292"/>
      <w:r>
        <w:rPr>
          <w:bCs/>
          <w:i/>
          <w:iCs/>
          <w:lang w:eastAsia="x-none"/>
        </w:rPr>
        <w:t>Дополнительные документы по ценообразованию</w:t>
      </w:r>
      <w:bookmarkEnd w:id="37"/>
      <w:r>
        <w:rPr>
          <w:bCs/>
          <w:i/>
          <w:iCs/>
          <w:lang w:eastAsia="x-none"/>
        </w:rPr>
        <w:t xml:space="preserve"> в состав заявки не включаются.</w:t>
      </w:r>
    </w:p>
    <w:p>
      <w:pPr>
        <w:pStyle w:val="Normal"/>
        <w:jc w:val="center"/>
        <w:rPr>
          <w:rFonts w:eastAsia="Calibri" w:eastAsiaTheme="minorHAnsi"/>
          <w:b/>
        </w:rPr>
      </w:pPr>
      <w:r>
        <w:rPr>
          <w:rFonts w:eastAsia="Calibri" w:eastAsiaTheme="minorHAnsi"/>
          <w:b/>
        </w:rPr>
      </w:r>
    </w:p>
    <w:p>
      <w:pPr>
        <w:pStyle w:val="Heading1"/>
        <w:keepLines/>
        <w:numPr>
          <w:ilvl w:val="0"/>
          <w:numId w:val="1"/>
        </w:numPr>
        <w:ind w:left="357" w:hanging="357"/>
        <w:jc w:val="center"/>
        <w:rPr>
          <w:lang w:val="ru-RU"/>
        </w:rPr>
      </w:pPr>
      <w:bookmarkStart w:id="38" w:name="__RefHeading___Toc2434_3630896084"/>
      <w:bookmarkStart w:id="39" w:name="_Toc173917903"/>
      <w:bookmarkEnd w:id="38"/>
      <w:r>
        <w:rPr>
          <w:lang w:val="ru-RU"/>
        </w:rPr>
        <w:t>Приложения</w:t>
      </w:r>
      <w:bookmarkEnd w:id="39"/>
    </w:p>
    <w:p>
      <w:pPr>
        <w:pStyle w:val="Normal"/>
        <w:jc w:val="center"/>
        <w:rPr>
          <w:rFonts w:eastAsia="Calibri" w:eastAsiaTheme="minorHAnsi"/>
          <w:b/>
        </w:rPr>
      </w:pPr>
      <w:r>
        <w:rPr>
          <w:rFonts w:eastAsia="Calibri" w:eastAsiaTheme="minorHAnsi"/>
          <w:b/>
        </w:rPr>
      </w:r>
    </w:p>
    <w:p>
      <w:pPr>
        <w:pStyle w:val="Normal"/>
        <w:rPr>
          <w:rFonts w:eastAsia="Calibri" w:eastAsiaTheme="minorHAnsi"/>
        </w:rPr>
      </w:pPr>
      <w:r>
        <w:rPr>
          <w:rFonts w:eastAsia="Calibri" w:eastAsiaTheme="minorHAnsi"/>
        </w:rPr>
        <w:t>1. Требования к продукции</w:t>
      </w:r>
    </w:p>
    <w:p>
      <w:pPr>
        <w:pStyle w:val="Normal"/>
        <w:rPr>
          <w:rFonts w:eastAsia="Calibri" w:eastAsiaTheme="minorHAnsi"/>
        </w:rPr>
      </w:pPr>
      <w:r>
        <w:rPr>
          <w:rFonts w:eastAsia="Calibri" w:eastAsiaTheme="minorHAnsi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</w:rPr>
      </w:pPr>
      <w:r>
        <w:rPr>
          <w:rFonts w:eastAsia="Calibri" w:eastAsiaTheme="minorHAnsi"/>
          <w:b w:val="false"/>
          <w:iCs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Heading4"/>
        <w:tabs>
          <w:tab w:val="clear" w:pos="0"/>
        </w:tabs>
        <w:jc w:val="right"/>
        <w:rPr/>
      </w:pPr>
      <w:bookmarkStart w:id="40" w:name="__RefHeading___Toc2436_3630896084"/>
      <w:bookmarkStart w:id="41" w:name="_Toc173917904"/>
      <w:bookmarkEnd w:id="40"/>
      <w:r>
        <w:rPr>
          <w:lang w:val="ru-RU"/>
        </w:rPr>
        <w:t>Приложение 1</w:t>
      </w:r>
      <w:bookmarkEnd w:id="41"/>
    </w:p>
    <w:p>
      <w:pPr>
        <w:pStyle w:val="Normal"/>
        <w:spacing w:before="0" w:after="120"/>
        <w:ind w:right="397" w:hanging="0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Требования к продукции</w:t>
      </w:r>
    </w:p>
    <w:p>
      <w:pPr>
        <w:pStyle w:val="Normal"/>
        <w:spacing w:before="0" w:after="120"/>
        <w:ind w:right="397" w:hanging="0"/>
        <w:jc w:val="both"/>
        <w:rPr>
          <w:rStyle w:val="Style8"/>
          <w:b w:val="false"/>
          <w:sz w:val="24"/>
          <w:szCs w:val="24"/>
          <w:shd w:fill="auto" w:val="clear"/>
        </w:rPr>
      </w:pPr>
      <w:r>
        <w:rPr>
          <w:b/>
          <w:bCs/>
          <w:sz w:val="24"/>
          <w:szCs w:val="24"/>
        </w:rPr>
        <w:t xml:space="preserve">Наименование продукции: </w:t>
      </w:r>
      <w:r>
        <w:rPr>
          <w:rStyle w:val="Style8"/>
          <w:rFonts w:eastAsia="Times New Roman" w:cs="Times New Roman"/>
          <w:b w:val="false"/>
          <w:bCs w:val="false"/>
          <w:i w:val="false"/>
          <w:iCs w:val="false"/>
          <w:strike w:val="false"/>
          <w:dstrike w:val="false"/>
          <w:color w:val="000000" w:themeColor="text1"/>
          <w:sz w:val="24"/>
          <w:szCs w:val="24"/>
          <w:u w:val="none"/>
          <w:shd w:fill="auto" w:val="clear"/>
          <w:lang w:val="ru-RU" w:eastAsia="ru-RU" w:bidi="ar-SA"/>
        </w:rPr>
        <w:t>«</w:t>
      </w:r>
      <w:r>
        <w:rPr>
          <w:rStyle w:val="Style8"/>
          <w:rFonts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  <w:lang w:val="en-US" w:eastAsia="ru-RU" w:bidi="ar-SA"/>
        </w:rPr>
        <w:t xml:space="preserve">Поставка песчано-гравийной смеси для ДЭС </w:t>
      </w:r>
      <w:r>
        <w:rPr>
          <w:rStyle w:val="Style8"/>
          <w:rFonts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4"/>
          <w:szCs w:val="24"/>
          <w:u w:val="none"/>
          <w:shd w:fill="auto" w:val="clear"/>
          <w:lang w:val="en-US" w:eastAsia="ru-RU" w:bidi="ar-SA"/>
        </w:rPr>
        <w:t>Намы</w:t>
      </w:r>
      <w:r>
        <w:rPr>
          <w:rStyle w:val="Style8"/>
          <w:rFonts w:eastAsia="Times New Roman" w:cs="Times New Roman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  <w:shd w:fill="auto" w:val="clear"/>
          <w:lang w:val="ru-RU" w:eastAsia="ru-RU" w:bidi="ar-SA"/>
        </w:rPr>
        <w:t>»</w:t>
      </w:r>
    </w:p>
    <w:tbl>
      <w:tblPr>
        <w:tblStyle w:val="1d"/>
        <w:tblW w:w="1530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07"/>
        <w:gridCol w:w="1352"/>
        <w:gridCol w:w="1559"/>
        <w:gridCol w:w="1475"/>
        <w:gridCol w:w="2300"/>
        <w:gridCol w:w="1498"/>
        <w:gridCol w:w="1704"/>
        <w:gridCol w:w="1139"/>
        <w:gridCol w:w="1857"/>
        <w:gridCol w:w="1816"/>
      </w:tblGrid>
      <w:tr>
        <w:trPr>
          <w:trHeight w:val="311" w:hRule="atLeast"/>
        </w:trPr>
        <w:tc>
          <w:tcPr>
            <w:tcW w:w="60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 xml:space="preserve">№ </w:t>
            </w: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п/п</w:t>
            </w:r>
          </w:p>
        </w:tc>
        <w:tc>
          <w:tcPr>
            <w:tcW w:w="1352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 xml:space="preserve">№ </w:t>
            </w: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 xml:space="preserve">позиции </w:t>
              <w:br/>
              <w:t>Таблицы 1.1. «Перечень и объем закупаемой продукции»</w:t>
            </w:r>
          </w:p>
        </w:tc>
        <w:tc>
          <w:tcPr>
            <w:tcW w:w="155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Наименование продукции</w:t>
            </w:r>
          </w:p>
        </w:tc>
        <w:tc>
          <w:tcPr>
            <w:tcW w:w="5273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Требования заказчика *</w:t>
            </w:r>
          </w:p>
        </w:tc>
        <w:tc>
          <w:tcPr>
            <w:tcW w:w="6516" w:type="dxa"/>
            <w:gridSpan w:val="4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Предложения участника**</w:t>
            </w:r>
          </w:p>
        </w:tc>
      </w:tr>
      <w:tr>
        <w:trPr>
          <w:trHeight w:val="726" w:hRule="atLeast"/>
        </w:trPr>
        <w:tc>
          <w:tcPr>
            <w:tcW w:w="6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</w:r>
          </w:p>
        </w:tc>
        <w:tc>
          <w:tcPr>
            <w:tcW w:w="135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</w:r>
          </w:p>
        </w:tc>
        <w:tc>
          <w:tcPr>
            <w:tcW w:w="155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</w:r>
          </w:p>
        </w:tc>
        <w:tc>
          <w:tcPr>
            <w:tcW w:w="147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ГОСТ</w:t>
            </w:r>
          </w:p>
        </w:tc>
        <w:tc>
          <w:tcPr>
            <w:tcW w:w="23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cs="" w:ascii="Calibri" w:hAnsi="Calibri"/>
                <w:b/>
                <w:bCs/>
                <w:kern w:val="0"/>
                <w:sz w:val="20"/>
                <w:szCs w:val="20"/>
                <w:lang w:val="ru-RU" w:eastAsia="en-US" w:bidi="ar-SA"/>
              </w:rPr>
              <w:t>(параметры эквивалентности)</w:t>
            </w:r>
          </w:p>
        </w:tc>
        <w:tc>
          <w:tcPr>
            <w:tcW w:w="149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Место поставки</w:t>
            </w:r>
          </w:p>
        </w:tc>
        <w:tc>
          <w:tcPr>
            <w:tcW w:w="170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Theme="majorBidi" w:hAnsiTheme="majorBidi"/>
                <w:b/>
                <w:i/>
                <w:i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Наименование продукции</w:t>
            </w:r>
          </w:p>
        </w:tc>
        <w:tc>
          <w:tcPr>
            <w:tcW w:w="113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Theme="majorBidi" w:hAnsiTheme="majorBidi"/>
                <w:b/>
                <w:i/>
                <w:i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ГОСТ</w:t>
            </w:r>
          </w:p>
        </w:tc>
        <w:tc>
          <w:tcPr>
            <w:tcW w:w="185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Theme="majorBidi" w:hAnsiTheme="majorBidi"/>
                <w:b/>
                <w:i/>
                <w:i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181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Theme="majorBidi" w:hAnsiTheme="majorBidi"/>
                <w:b/>
                <w:i/>
                <w:i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Место поставки</w:t>
            </w:r>
          </w:p>
        </w:tc>
      </w:tr>
      <w:tr>
        <w:trPr>
          <w:trHeight w:val="223" w:hRule="atLeast"/>
        </w:trPr>
        <w:tc>
          <w:tcPr>
            <w:tcW w:w="6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cs="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1</w:t>
            </w:r>
          </w:p>
        </w:tc>
        <w:tc>
          <w:tcPr>
            <w:tcW w:w="13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cs="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2</w:t>
            </w:r>
          </w:p>
        </w:tc>
        <w:tc>
          <w:tcPr>
            <w:tcW w:w="155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cs="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3</w:t>
            </w:r>
          </w:p>
        </w:tc>
        <w:tc>
          <w:tcPr>
            <w:tcW w:w="147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cs="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4</w:t>
            </w:r>
          </w:p>
        </w:tc>
        <w:tc>
          <w:tcPr>
            <w:tcW w:w="23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Calibri" w:cs="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5</w:t>
            </w:r>
          </w:p>
        </w:tc>
        <w:tc>
          <w:tcPr>
            <w:tcW w:w="149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Calibri" w:cs="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6</w:t>
            </w:r>
          </w:p>
        </w:tc>
        <w:tc>
          <w:tcPr>
            <w:tcW w:w="170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cs="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7</w:t>
            </w:r>
          </w:p>
        </w:tc>
        <w:tc>
          <w:tcPr>
            <w:tcW w:w="113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cs="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8</w:t>
            </w:r>
          </w:p>
        </w:tc>
        <w:tc>
          <w:tcPr>
            <w:tcW w:w="185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cs="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9</w:t>
            </w:r>
          </w:p>
        </w:tc>
        <w:tc>
          <w:tcPr>
            <w:tcW w:w="181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cs="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10</w:t>
            </w:r>
          </w:p>
        </w:tc>
      </w:tr>
      <w:tr>
        <w:trPr/>
        <w:tc>
          <w:tcPr>
            <w:tcW w:w="607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before="0" w:after="0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135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 w:ascii="Calibri" w:hAnsi="Calibri"/>
                <w:i/>
                <w:iCs/>
                <w:kern w:val="0"/>
                <w:sz w:val="20"/>
                <w:szCs w:val="20"/>
                <w:lang w:val="ru-RU" w:eastAsia="en-US" w:bidi="ar-SA"/>
              </w:rPr>
              <w:t>Позиция 1</w:t>
            </w:r>
          </w:p>
        </w:tc>
        <w:tc>
          <w:tcPr>
            <w:tcW w:w="1559" w:type="dxa"/>
            <w:tcBorders/>
          </w:tcPr>
          <w:p>
            <w:pPr>
              <w:pStyle w:val="Style34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Arial" w:ascii="Calibri" w:hAnsi="Calibri"/>
                <w:kern w:val="0"/>
                <w:sz w:val="22"/>
                <w:szCs w:val="22"/>
                <w:lang w:val="ru-RU" w:eastAsia="en-US" w:bidi="ar-SA"/>
              </w:rPr>
              <w:t>Смесь песчано-гравийная</w:t>
            </w:r>
          </w:p>
        </w:tc>
        <w:tc>
          <w:tcPr>
            <w:tcW w:w="1475" w:type="dxa"/>
            <w:tcBorders/>
          </w:tcPr>
          <w:p>
            <w:pPr>
              <w:pStyle w:val="BodyText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Arial"/>
                <w:color w:val="000000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ГОСТ 23735-2014</w:t>
            </w:r>
          </w:p>
          <w:p>
            <w:pPr>
              <w:pStyle w:val="Style34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Calibri" w:cs="Arial"/>
                <w:kern w:val="0"/>
                <w:sz w:val="22"/>
                <w:szCs w:val="22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Calibri" w:cs="Arial"/>
                <w:kern w:val="0"/>
                <w:sz w:val="22"/>
                <w:szCs w:val="22"/>
                <w:shd w:fill="auto" w:val="clear"/>
                <w:lang w:val="ru-RU" w:eastAsia="en-US" w:bidi="ar-SA"/>
              </w:rPr>
            </w:r>
          </w:p>
        </w:tc>
        <w:tc>
          <w:tcPr>
            <w:tcW w:w="2300" w:type="dxa"/>
            <w:tcBorders/>
          </w:tcPr>
          <w:p>
            <w:pPr>
              <w:pStyle w:val="BodyText"/>
              <w:widowControl w:val="false"/>
              <w:shd w:val="clear" w:color="FFFFFF" w:themeColor="background1" w:fill="FFFFFF" w:themeFill="background1"/>
              <w:spacing w:lineRule="auto" w:line="240" w:before="0" w:after="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bCs w:val="false"/>
                <w:i w:val="false"/>
                <w:color w:val="000000"/>
                <w:sz w:val="22"/>
                <w:szCs w:val="22"/>
                <w14:ligatures w14:val="none"/>
              </w:rPr>
              <w:t>Содержание гравия</w:t>
            </w:r>
          </w:p>
          <w:p>
            <w:pPr>
              <w:pStyle w:val="BodyText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color w:val="000000"/>
                <w:sz w:val="22"/>
                <w:szCs w:val="22"/>
              </w:rPr>
              <w:t>не менее — 40% и</w:t>
            </w:r>
          </w:p>
          <w:p>
            <w:pPr>
              <w:pStyle w:val="BodyText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color w:val="000000"/>
                <w:sz w:val="22"/>
                <w:szCs w:val="22"/>
              </w:rPr>
              <w:t>не более — 60%.</w:t>
            </w:r>
          </w:p>
          <w:p>
            <w:pPr>
              <w:pStyle w:val="BodyText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bCs w:val="false"/>
                <w:i w:val="false"/>
                <w:color w:val="000000"/>
                <w:sz w:val="22"/>
                <w:szCs w:val="22"/>
              </w:rPr>
              <w:t>Фракция гравия: 20-40 мм. Форма поставки материала — навалом.</w:t>
            </w:r>
          </w:p>
        </w:tc>
        <w:tc>
          <w:tcPr>
            <w:tcW w:w="1498" w:type="dxa"/>
            <w:tcBorders/>
          </w:tcPr>
          <w:p>
            <w:pPr>
              <w:pStyle w:val="Normal"/>
              <w:widowControl w:val="false"/>
              <w:ind w:hanging="0"/>
              <w:jc w:val="left"/>
              <w:rPr>
                <w:sz w:val="20"/>
                <w:szCs w:val="20"/>
              </w:rPr>
            </w:pPr>
            <w:r>
              <w:rPr>
                <w:rFonts w:eastAsia="Calibri"/>
                <w:i/>
                <w:iCs/>
                <w:color w:val="000000"/>
                <w:kern w:val="0"/>
                <w:sz w:val="20"/>
                <w:szCs w:val="20"/>
                <w:lang w:val="ru-RU" w:eastAsia="en-US" w:bidi="ar-SA"/>
              </w:rPr>
              <w:t>РС(Я), Булунский район, с. Намы, ДЭС Намы.</w:t>
            </w:r>
          </w:p>
        </w:tc>
        <w:tc>
          <w:tcPr>
            <w:tcW w:w="17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eastAsia="Calibri" w:cs="" w:ascii="Calibri" w:hAnsi="Calibr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указание наименования продукции</w:t>
            </w:r>
          </w:p>
        </w:tc>
        <w:tc>
          <w:tcPr>
            <w:tcW w:w="113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eastAsia="Calibri" w:cs="" w:ascii="Calibri" w:hAnsi="Calibr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указание ГОСТа</w:t>
            </w:r>
          </w:p>
        </w:tc>
        <w:tc>
          <w:tcPr>
            <w:tcW w:w="1857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178" w:hanging="0"/>
              <w:contextualSpacing/>
              <w:jc w:val="left"/>
              <w:rPr>
                <w:rFonts w:eastAsia="Calibri" w:eastAsiaTheme="minorHAnsi"/>
                <w:i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eastAsia="Calibri" w:cs="" w:ascii="Calibri" w:hAnsi="Calibri" w:eastAsiaTheme="minorHAns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Указание характеристик</w:t>
            </w:r>
          </w:p>
        </w:tc>
        <w:tc>
          <w:tcPr>
            <w:tcW w:w="18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eastAsia="Calibri" w:cs="" w:ascii="Calibri" w:hAnsi="Calibr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согласие</w:t>
            </w:r>
          </w:p>
        </w:tc>
      </w:tr>
    </w:tbl>
    <w:p>
      <w:pPr>
        <w:pStyle w:val="Normal"/>
        <w:spacing w:before="120" w:after="40"/>
        <w:ind w:right="397" w:hanging="0"/>
        <w:jc w:val="both"/>
        <w:rPr>
          <w:i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* Указанные в настоящем ТТ ссылки на ТУ, марку (тип) продукции носят описательный, а не обязательный характер. </w:t>
      </w:r>
    </w:p>
    <w:p>
      <w:pPr>
        <w:pStyle w:val="Normal"/>
        <w:spacing w:before="40" w:after="120"/>
        <w:ind w:right="-28" w:hanging="0"/>
        <w:jc w:val="both"/>
        <w:rPr>
          <w:i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случае, если Участником предлагается эквивалентная продукция</w:t>
      </w:r>
      <w:r>
        <w:rPr>
          <w:i/>
          <w:iCs/>
          <w:sz w:val="22"/>
          <w:szCs w:val="22"/>
        </w:rPr>
        <w:t xml:space="preserve"> требуемой Заказчику продукции или ее составных частей, он должен в обязательном порядке в составе своего предложения предоставить подробное техническое описание предлагаемого к поставке эквивалента, в объеме не менее установленных в настоящем ТТ требований.</w:t>
      </w:r>
    </w:p>
    <w:p>
      <w:pPr>
        <w:pStyle w:val="Normal"/>
        <w:spacing w:before="40" w:after="120"/>
        <w:ind w:right="-28" w:hanging="0"/>
        <w:jc w:val="both"/>
        <w:rPr>
          <w:i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** Способ подтверждения участником соответствия требованиям указан в таблице в отношении каждой позиции закупаемой продукции </w:t>
      </w:r>
    </w:p>
    <w:p>
      <w:pPr>
        <w:pStyle w:val="Heading4"/>
        <w:tabs>
          <w:tab w:val="clear" w:pos="0"/>
        </w:tabs>
        <w:spacing w:before="120" w:after="60"/>
        <w:jc w:val="right"/>
        <w:rPr>
          <w:lang w:val="ru-RU"/>
        </w:rPr>
      </w:pPr>
      <w:r>
        <w:rPr/>
      </w:r>
    </w:p>
    <w:sectPr>
      <w:headerReference w:type="default" r:id="rId5"/>
      <w:headerReference w:type="first" r:id="rId6"/>
      <w:type w:val="nextPage"/>
      <w:pgSz w:orient="landscape" w:w="16838" w:h="11906"/>
      <w:pgMar w:left="992" w:right="1134" w:gutter="0" w:header="680" w:top="1134" w:footer="0" w:bottom="851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 wp14:anchorId="2165D93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 wp14:anchorId="2165D93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">
    <w:lvl w:ilvl="0">
      <w:start w:val="3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80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95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035e96"/>
    <w:pPr>
      <w:keepNext w:val="true"/>
      <w:tabs>
        <w:tab w:val="clear" w:pos="708"/>
        <w:tab w:val="left" w:pos="0" w:leader="none"/>
      </w:tabs>
      <w:spacing w:before="120" w:after="60"/>
      <w:ind w:left="1224" w:hanging="504"/>
      <w:jc w:val="center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sid w:val="00d561d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1">
    <w:name w:val="Strong1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035e96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6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1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29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6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sid w:val="003879d4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10"/>
    <w:qFormat/>
    <w:rsid w:val="004a17ae"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sid w:val="00c36f30"/>
    <w:rPr>
      <w:sz w:val="16"/>
      <w:szCs w:val="16"/>
    </w:rPr>
  </w:style>
  <w:style w:type="character" w:styleId="Style14" w:customStyle="1">
    <w:name w:val="Ссылка указателя"/>
    <w:qFormat/>
    <w:rPr/>
  </w:style>
  <w:style w:type="character" w:styleId="Strong">
    <w:name w:val="Strong"/>
    <w:qFormat/>
    <w:rPr>
      <w:b/>
      <w:bCs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14" w:customStyle="1">
    <w:name w:val="Заголовок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</w:rPr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11" w:customStyle="1">
    <w:name w:val="index heading11"/>
    <w:basedOn w:val="14"/>
    <w:qFormat/>
    <w:pPr/>
    <w:rPr/>
  </w:style>
  <w:style w:type="paragraph" w:styleId="Style17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8" w:customStyle="1">
    <w:name w:val="Раздел положения"/>
    <w:basedOn w:val="Normal"/>
    <w:autoRedefine/>
    <w:qFormat/>
    <w:rsid w:val="007475ee"/>
    <w:pPr>
      <w:tabs>
        <w:tab w:val="clear" w:pos="708"/>
        <w:tab w:val="left" w:pos="360" w:leader="none"/>
      </w:tabs>
      <w:spacing w:before="80" w:after="80"/>
      <w:ind w:left="360" w:hanging="360"/>
      <w:jc w:val="center"/>
    </w:pPr>
    <w:rPr>
      <w:b/>
      <w:sz w:val="32"/>
      <w:szCs w:val="32"/>
    </w:rPr>
  </w:style>
  <w:style w:type="paragraph" w:styleId="Style19" w:customStyle="1">
    <w:name w:val="Подраздел раздела положения"/>
    <w:basedOn w:val="Normal"/>
    <w:autoRedefine/>
    <w:qFormat/>
    <w:rsid w:val="007475ee"/>
    <w:pPr>
      <w:tabs>
        <w:tab w:val="clear" w:pos="708"/>
        <w:tab w:val="left" w:pos="357" w:leader="none"/>
      </w:tabs>
      <w:spacing w:before="80" w:after="80"/>
      <w:jc w:val="both"/>
    </w:pPr>
    <w:rPr/>
  </w:style>
  <w:style w:type="paragraph" w:styleId="FootnoteText">
    <w:name w:val="Footnote Text"/>
    <w:basedOn w:val="Normal"/>
    <w:link w:val="Style5"/>
    <w:uiPriority w:val="99"/>
    <w:rsid w:val="00d561d9"/>
    <w:pPr/>
    <w:rPr>
      <w:sz w:val="20"/>
      <w:szCs w:val="20"/>
    </w:rPr>
  </w:style>
  <w:style w:type="paragraph" w:styleId="15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6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0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1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421b6b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c01756"/>
    <w:pPr>
      <w:ind w:left="280" w:hanging="0"/>
    </w:pPr>
    <w:rPr>
      <w:rFonts w:cs="Calibri" w:cstheme="minorHAnsi"/>
      <w:sz w:val="20"/>
      <w:szCs w:val="20"/>
    </w:rPr>
  </w:style>
  <w:style w:type="paragraph" w:styleId="Style22" w:customStyle="1">
    <w:name w:val="Раздел регламента"/>
    <w:basedOn w:val="Normal"/>
    <w:qFormat/>
    <w:rsid w:val="00e228fa"/>
    <w:pPr/>
    <w:rPr/>
  </w:style>
  <w:style w:type="paragraph" w:styleId="Style23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7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4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11" w:customStyle="1">
    <w:name w:val="caption11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5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5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rsid w:val="00d22f6d"/>
    <w:pPr>
      <w:tabs>
        <w:tab w:val="clear" w:pos="708"/>
        <w:tab w:val="left" w:pos="1233" w:leader="none"/>
      </w:tabs>
      <w:ind w:left="1233" w:hanging="360"/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d22f6d"/>
    <w:pPr>
      <w:tabs>
        <w:tab w:val="clear" w:pos="708"/>
        <w:tab w:val="left" w:pos="0" w:leader="none"/>
      </w:tabs>
      <w:spacing w:before="120" w:after="0"/>
      <w:ind w:left="-207" w:hanging="36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tabs>
        <w:tab w:val="clear" w:pos="708"/>
        <w:tab w:val="left" w:pos="513" w:leader="none"/>
      </w:tabs>
      <w:spacing w:before="120" w:after="0"/>
      <w:ind w:left="513" w:hanging="36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6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8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7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8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9" w:customStyle="1">
    <w:name w:val="Подподпункт"/>
    <w:basedOn w:val="Style21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0" w:customStyle="1">
    <w:name w:val="УРОВЕНЬ_(а)"/>
    <w:basedOn w:val="ListParagraph"/>
    <w:qFormat/>
    <w:rsid w:val="00b56f46"/>
    <w:pPr>
      <w:tabs>
        <w:tab w:val="clear" w:pos="708"/>
        <w:tab w:val="left" w:pos="0" w:leader="none"/>
      </w:tabs>
      <w:spacing w:lineRule="exact" w:line="360" w:before="120" w:after="0"/>
      <w:ind w:left="1985" w:hanging="567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tabs>
        <w:tab w:val="clear" w:pos="708"/>
        <w:tab w:val="left" w:pos="0" w:leader="none"/>
      </w:tabs>
      <w:spacing w:lineRule="exact" w:line="360" w:before="120" w:after="0"/>
      <w:ind w:left="2268" w:hanging="567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tabs>
        <w:tab w:val="clear" w:pos="708"/>
        <w:tab w:val="left" w:pos="0" w:leader="none"/>
      </w:tabs>
      <w:spacing w:lineRule="exact" w:line="360" w:before="120" w:after="0"/>
      <w:ind w:left="1701" w:hanging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rsid w:val="00b56f46"/>
    <w:pPr>
      <w:tabs>
        <w:tab w:val="clear" w:pos="708"/>
        <w:tab w:val="left" w:pos="0" w:leader="none"/>
      </w:tabs>
      <w:spacing w:lineRule="exact" w:line="360" w:before="120" w:after="0"/>
      <w:ind w:left="0" w:hanging="0"/>
      <w:contextualSpacing w:val="false"/>
      <w:jc w:val="both"/>
    </w:pPr>
    <w:rPr>
      <w:sz w:val="26"/>
      <w:szCs w:val="28"/>
      <w:lang w:eastAsia="en-US"/>
    </w:rPr>
  </w:style>
  <w:style w:type="paragraph" w:styleId="Style31" w:customStyle="1">
    <w:name w:val="УРОВЕНЬ_Подпись"/>
    <w:basedOn w:val="ListParagraph"/>
    <w:qFormat/>
    <w:rsid w:val="00b56f46"/>
    <w:pPr>
      <w:keepNext w:val="true"/>
      <w:tabs>
        <w:tab w:val="clear" w:pos="708"/>
        <w:tab w:val="left" w:pos="0" w:leader="none"/>
      </w:tabs>
      <w:spacing w:lineRule="exact" w:line="360" w:before="120" w:after="120"/>
      <w:ind w:left="1134" w:hanging="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9" w:customStyle="1">
    <w:name w:val="Стиль Заголовок 1 + по ширине"/>
    <w:basedOn w:val="Heading1"/>
    <w:qFormat/>
    <w:rsid w:val="005773b2"/>
    <w:pPr>
      <w:keepLines/>
      <w:tabs>
        <w:tab w:val="clear" w:pos="0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tabs>
        <w:tab w:val="clear" w:pos="708"/>
        <w:tab w:val="left" w:pos="0" w:leader="none"/>
      </w:tabs>
      <w:spacing w:before="120" w:after="120"/>
      <w:ind w:left="1429" w:hanging="36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2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10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ListBul2" w:customStyle="1">
    <w:name w:val="ListBul2"/>
    <w:basedOn w:val="Normal"/>
    <w:qFormat/>
    <w:rsid w:val="001467a7"/>
    <w:pPr>
      <w:tabs>
        <w:tab w:val="clear" w:pos="708"/>
        <w:tab w:val="left" w:pos="0" w:leader="none"/>
        <w:tab w:val="left" w:pos="567" w:leader="none"/>
      </w:tabs>
      <w:ind w:left="928" w:hanging="360"/>
      <w:jc w:val="both"/>
    </w:pPr>
    <w:rPr>
      <w:sz w:val="22"/>
      <w:szCs w:val="24"/>
    </w:rPr>
  </w:style>
  <w:style w:type="paragraph" w:styleId="Default" w:customStyle="1">
    <w:name w:val="Default"/>
    <w:qFormat/>
    <w:rsid w:val="0075289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yle33" w:customStyle="1">
    <w:name w:val="Содержимое врезки"/>
    <w:basedOn w:val="Normal"/>
    <w:qFormat/>
    <w:pPr/>
    <w:rPr/>
  </w:style>
  <w:style w:type="paragraph" w:styleId="Style34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5" w:customStyle="1">
    <w:name w:val="Заголовок таблицы"/>
    <w:basedOn w:val="Style34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7">
    <w:name w:val="Table Grid"/>
    <w:basedOn w:val="a1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d">
    <w:name w:val="Сетка таблицы1"/>
    <w:basedOn w:val="a1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5E93D-D232-4C46-A9F7-094A593F1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Application>AlterOffice/3.4.0.8$Linux_X86_64 LibreOffice_project/8f3f3c847f0b8d6fea24e251d3d8ed4f23cbe23c</Application>
  <AppVersion>15.0000</AppVersion>
  <Pages>12</Pages>
  <Words>1266</Words>
  <Characters>8737</Characters>
  <CharactersWithSpaces>9775</CharactersWithSpaces>
  <Paragraphs>224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2024-08-07T00:41:00Z</dcterms:created>
  <dc:creator>Быстров Олег Геннадьевич</dc:creator>
  <dc:description/>
  <dc:language>ru-RU</dc:language>
  <cp:lastModifiedBy/>
  <cp:lastPrinted>2023-07-20T07:22:00Z</cp:lastPrinted>
  <dcterms:modified xsi:type="dcterms:W3CDTF">2026-09-04T11:58:40Z</dcterms:modified>
  <cp:revision>22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